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3627" w14:textId="58F2C578" w:rsidR="00607292" w:rsidRPr="00607292" w:rsidRDefault="00607292" w:rsidP="00607292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</w:pPr>
      <w:r w:rsidRPr="006072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v-LV"/>
        </w:rPr>
        <w:t>Ceturkšņa atskaite par projektu “Publisko pakalpojumu pārveides metodoloģijas izstrāde un aprobācija”</w:t>
      </w:r>
    </w:p>
    <w:p w14:paraId="47CBEF85" w14:textId="30256A42" w:rsidR="00645950" w:rsidRPr="00607292" w:rsidRDefault="00B2574C" w:rsidP="00607292">
      <w:pPr>
        <w:widowControl/>
        <w:tabs>
          <w:tab w:val="num" w:pos="426"/>
        </w:tabs>
        <w:suppressAutoHyphens w:val="0"/>
        <w:autoSpaceDN/>
        <w:spacing w:after="1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="003A60AD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.12</w:t>
      </w:r>
      <w:r w:rsidR="00645950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AF53C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2020.</w:t>
      </w:r>
    </w:p>
    <w:p w14:paraId="5D3EAAD9" w14:textId="6589EC98" w:rsidR="00E00F58" w:rsidRPr="00607292" w:rsidRDefault="005A6A67" w:rsidP="00091205">
      <w:pPr>
        <w:widowControl/>
        <w:tabs>
          <w:tab w:val="num" w:pos="426"/>
        </w:tabs>
        <w:suppressAutoHyphens w:val="0"/>
        <w:autoSpaceDN/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977D1E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Atskatoties uz 2020. gad</w:t>
      </w:r>
      <w:r w:rsidR="00725814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ā paveikto, l</w:t>
      </w:r>
      <w:r w:rsidR="0088271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iels gandarījums, ka </w:t>
      </w:r>
      <w:r w:rsidR="00D400A8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galvenais mērķis</w:t>
      </w:r>
      <w:r w:rsidR="00A133DA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7632E" w:rsidRPr="006072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3.4.2.3. pasākuma “Publisko pakalpojumu pārveides metodoloģijas izstrāde un aprobācija” </w:t>
      </w:r>
      <w:r w:rsidR="004E1A74" w:rsidRPr="006072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projekta </w:t>
      </w:r>
      <w:r w:rsidR="00250983" w:rsidRPr="006072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Nr.3.4.2.3/18/I/001 “Publisko pakalpojumu pārveides metodoloģijas izstrāde un aprobācija”</w:t>
      </w:r>
      <w:r w:rsidR="00C60D1F" w:rsidRPr="006072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izstrādāt un aprobēt publisko pakalpojumu sniegšanas procesu pārveides metodoloģiju, nodrošinot ātrāku un efektīvāku publisko pakalpojumu sniegšanu, samazinot valsts pārvaldes izmaksas un administratīvo slogu, kā arī radot priekšnosacījumus pakalpojumu </w:t>
      </w:r>
      <w:proofErr w:type="spellStart"/>
      <w:r w:rsidR="00C60D1F" w:rsidRPr="006072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>digitalizācijas</w:t>
      </w:r>
      <w:proofErr w:type="spellEnd"/>
      <w:r w:rsidR="00C60D1F" w:rsidRPr="006072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straujākai attīstībai,</w:t>
      </w:r>
      <w:r w:rsidR="00250983" w:rsidRPr="0060729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  <w:t xml:space="preserve"> </w:t>
      </w:r>
      <w:r w:rsidR="00D400A8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ir sasniegts</w:t>
      </w:r>
      <w:r w:rsidR="00374C14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77322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74C14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 w:rsidR="002C510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alsts </w:t>
      </w:r>
      <w:r w:rsidR="00836C5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pārvaldes pakalpojumu pārveides</w:t>
      </w:r>
      <w:r w:rsidR="00D5388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metodoloģija, vadlīnij</w:t>
      </w:r>
      <w:r w:rsidR="00A36241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as</w:t>
      </w:r>
      <w:r w:rsidR="00D5388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un rokasgrāmata izstrād</w:t>
      </w:r>
      <w:r w:rsidR="009F566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āt</w:t>
      </w:r>
      <w:r w:rsidR="0076659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D5388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un aprob</w:t>
      </w:r>
      <w:r w:rsidR="0044398B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ēt</w:t>
      </w:r>
      <w:r w:rsidR="0076659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44398B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5 valsts pārvaldes iestādēs.</w:t>
      </w:r>
      <w:r w:rsidR="005D7E2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0683D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Tas ir labs palīgs</w:t>
      </w:r>
      <w:r w:rsidR="00797E8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</w:t>
      </w:r>
      <w:r w:rsidR="005D7E2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estādēm, kuras pārs</w:t>
      </w:r>
      <w:r w:rsidR="0019275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kata savus pakalpojums</w:t>
      </w:r>
      <w:r w:rsidR="00C11C1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un meklē </w:t>
      </w:r>
      <w:r w:rsidR="00C458D8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labāko praksi,</w:t>
      </w:r>
      <w:r w:rsidR="008E75DA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E3CD1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padomus un </w:t>
      </w:r>
      <w:r w:rsidR="008E75DA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informāciju par dažādām metodēm, kuras izmantot efektīvākai pakalpojumu pārveidei</w:t>
      </w:r>
      <w:r w:rsidR="0030683D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797E8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070038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Materiāli </w:t>
      </w:r>
      <w:r w:rsidR="007B47E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publicēt</w:t>
      </w:r>
      <w:r w:rsidR="00070038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="007B47E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B47E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Koprades</w:t>
      </w:r>
      <w:proofErr w:type="spellEnd"/>
      <w:r w:rsidR="007B47E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platformā </w:t>
      </w:r>
      <w:hyperlink r:id="rId7" w:history="1">
        <w:r w:rsidR="007B47E6" w:rsidRPr="00607292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</w:rPr>
          <w:t>https://www.koprade.lv/node/21</w:t>
        </w:r>
      </w:hyperlink>
      <w:r w:rsidR="00070038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 w:rsidR="001E08AE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39146292" w14:textId="13BE5F42" w:rsidR="00F86032" w:rsidRPr="00607292" w:rsidRDefault="008A743A" w:rsidP="00091205">
      <w:pPr>
        <w:widowControl/>
        <w:tabs>
          <w:tab w:val="num" w:pos="426"/>
        </w:tabs>
        <w:suppressAutoHyphens w:val="0"/>
        <w:autoSpaceDN/>
        <w:spacing w:after="12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A36241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Papildus galvenajam projekta uzdevumam</w:t>
      </w:r>
      <w:r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  <w:r w:rsidR="00A36241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CE5FB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lai radītu papildus vērtību projekta atbalstāmajām darbībām, risinātu projekta aprakstā norādītās problēmas, kas vērstas uz pakalpojuma digitālās transformācijas ieviešanas veicināšanu, </w:t>
      </w:r>
      <w:r w:rsidR="001E08AE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 w:rsidR="0025098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eturtajā ceturksnī ir </w:t>
      </w:r>
      <w:r w:rsidR="00B16E24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veikta</w:t>
      </w:r>
      <w:r w:rsidR="0025098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9566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“Pakalpojumu nodrošināšanas sistēmas darbības (tai skaitā, </w:t>
      </w:r>
      <w:r w:rsidR="001D67DF" w:rsidRPr="00607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valsts un pašvaldību vienoto klientu apkalpošanas centru (turpmāk - VPVKAC) </w:t>
      </w:r>
      <w:r w:rsidR="00E9566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tīkla kā kanāla un pakalpojumu </w:t>
      </w:r>
      <w:proofErr w:type="spellStart"/>
      <w:r w:rsidR="00E9566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pārresoru</w:t>
      </w:r>
      <w:proofErr w:type="spellEnd"/>
      <w:r w:rsidR="00E9566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koordinācijas mehānisma) analīze</w:t>
      </w:r>
      <w:r w:rsidR="001A4881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kā rezultātā tapuši </w:t>
      </w:r>
      <w:r w:rsidR="00622C2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vērtīgi </w:t>
      </w:r>
      <w:r w:rsidR="001A4881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secinājumi un priekšlikumi turpmākai </w:t>
      </w:r>
      <w:r w:rsidR="00A47B1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VPVKAC </w:t>
      </w:r>
      <w:r w:rsidR="00BB44C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attīstībai</w:t>
      </w:r>
      <w:r w:rsidR="00A47B1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kā arī izstrādāti priekšlikumi pakalpojumu </w:t>
      </w:r>
      <w:r w:rsidR="003307BC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pārvaldības</w:t>
      </w:r>
      <w:r w:rsidR="00BB44C3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2339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mehānisma</w:t>
      </w:r>
      <w:r w:rsidR="006D74D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F601EC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izveidei</w:t>
      </w:r>
      <w:r w:rsidR="0032339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 w:rsidR="003E7A3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Izstrādāt</w:t>
      </w:r>
      <w:r w:rsidR="003E47D4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ais</w:t>
      </w:r>
      <w:r w:rsidR="003E7A3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valsts pārvaldes pakalpojumu nodrošināšanas stratēģija</w:t>
      </w:r>
      <w:r w:rsidR="00507D8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 w:rsidR="003E7A3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2021.</w:t>
      </w:r>
      <w:r w:rsidR="00AE1E3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E7A3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– </w:t>
      </w:r>
      <w:r w:rsidR="00AE1E3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E7A3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2027.</w:t>
      </w:r>
      <w:r w:rsidR="00AE1E3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3E7A37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gadam</w:t>
      </w:r>
      <w:r w:rsidR="00F557C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redzējums</w:t>
      </w:r>
      <w:r w:rsidR="001E08AE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preze</w:t>
      </w:r>
      <w:r w:rsidR="00F557C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ntēts </w:t>
      </w:r>
      <w:r w:rsidR="00550A18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Vides aizsardzības un reģionālās attīstības ministrija (turpmāk – VARAM) </w:t>
      </w:r>
      <w:r w:rsidR="00F557C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organizētaj</w:t>
      </w:r>
      <w:r w:rsidR="00332AF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os</w:t>
      </w:r>
      <w:r w:rsidR="00F557C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557C5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vebinār</w:t>
      </w:r>
      <w:r w:rsidR="00332AF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os</w:t>
      </w:r>
      <w:proofErr w:type="spellEnd"/>
      <w:r w:rsidR="00FB2EDE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“</w:t>
      </w:r>
      <w:r w:rsidR="00742C3C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Valsts pārvaldes pakalpojumu sistēmas organizēšana institūcijā. Pieredzes apmaiņa.”</w:t>
      </w:r>
      <w:r w:rsidR="004E173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valsts un pašvaldību iestādēm, kur</w:t>
      </w:r>
      <w:r w:rsidR="00332AF6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os kopumā piedalījās</w:t>
      </w:r>
      <w:r w:rsidR="000157E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tuvu pie 400 dalībniekiem. </w:t>
      </w:r>
      <w:proofErr w:type="spellStart"/>
      <w:r w:rsidR="000157E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Vebināru</w:t>
      </w:r>
      <w:proofErr w:type="spellEnd"/>
      <w:r w:rsidR="000157E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2C547D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prezentācijas </w:t>
      </w:r>
      <w:r w:rsidR="00E60929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 w:rsidR="00B93A99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ieejam</w:t>
      </w:r>
      <w:r w:rsidR="00E60929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as</w:t>
      </w:r>
      <w:r w:rsidR="00B93A99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VARAM tīmekļvietnē</w:t>
      </w:r>
      <w:r w:rsidR="00C565B2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  <w:r w:rsidR="00B93A99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hyperlink r:id="rId8" w:history="1">
        <w:r w:rsidR="000E71FC" w:rsidRPr="00607292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</w:rPr>
          <w:t>https://www.varam.gov.lv/lv/valsts-parvaldes-pakalpojumu-sistemas-organizesana-institucija</w:t>
        </w:r>
      </w:hyperlink>
      <w:r w:rsidR="00517988" w:rsidRPr="00607292">
        <w:rPr>
          <w:rStyle w:val="Hipersaite"/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="000E71FC"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0D678C78" w14:textId="6FFFD550" w:rsidR="00F737DE" w:rsidRPr="00607292" w:rsidRDefault="00270E4A" w:rsidP="004A1824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07292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14:paraId="6E3A3B22" w14:textId="628628F7" w:rsidR="00F737DE" w:rsidRPr="00607292" w:rsidRDefault="00607292" w:rsidP="00AF53C2">
      <w:pPr>
        <w:widowControl/>
        <w:tabs>
          <w:tab w:val="num" w:pos="426"/>
        </w:tabs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607292">
        <w:rPr>
          <w:rFonts w:ascii="Times New Roman" w:hAnsi="Times New Roman" w:cs="Times New Roman"/>
          <w:noProof/>
        </w:rPr>
        <w:drawing>
          <wp:inline distT="0" distB="0" distL="0" distR="0" wp14:anchorId="38DFF30D" wp14:editId="72898FBF">
            <wp:extent cx="5274310" cy="1450204"/>
            <wp:effectExtent l="0" t="0" r="2540" b="0"/>
            <wp:docPr id="2" name="Attēls 2" descr="http://www.varam.gov.lv/images/text/logucis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ram.gov.lv/images/text/logucis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E65A5" w14:textId="1BF511D3" w:rsidR="00607292" w:rsidRPr="00607292" w:rsidRDefault="00607292" w:rsidP="00607292">
      <w:pPr>
        <w:widowControl/>
        <w:suppressAutoHyphens w:val="0"/>
        <w:autoSpaceDN/>
        <w:spacing w:after="1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607292">
        <w:rPr>
          <w:rFonts w:ascii="Times New Roman" w:hAnsi="Times New Roman" w:cs="Times New Roman"/>
        </w:rPr>
        <w:t>IEVIETOTS:</w:t>
      </w:r>
      <w:r w:rsidRPr="00607292">
        <w:rPr>
          <w:rFonts w:ascii="Times New Roman" w:hAnsi="Times New Roman" w:cs="Times New Roman"/>
        </w:rPr>
        <w:t xml:space="preserve"> </w:t>
      </w:r>
      <w:hyperlink r:id="rId10" w:history="1">
        <w:r w:rsidRPr="00607292">
          <w:rPr>
            <w:rStyle w:val="Hipersaite"/>
            <w:rFonts w:ascii="Times New Roman" w:hAnsi="Times New Roman" w:cs="Times New Roman"/>
          </w:rPr>
          <w:t>https://www.varam.gov.lv/lv/ceturksna-atskaite-par-projektu-publisko-pakalpojumu-parveides-metodologijas-izstrade-un-aprobacija-0</w:t>
        </w:r>
      </w:hyperlink>
      <w:r w:rsidRPr="00607292">
        <w:rPr>
          <w:rFonts w:ascii="Times New Roman" w:hAnsi="Times New Roman" w:cs="Times New Roman"/>
        </w:rPr>
        <w:t xml:space="preserve"> </w:t>
      </w:r>
    </w:p>
    <w:sectPr w:rsidR="00607292" w:rsidRPr="006072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50"/>
    <w:rsid w:val="00003D91"/>
    <w:rsid w:val="00006A5B"/>
    <w:rsid w:val="00012EF7"/>
    <w:rsid w:val="000157E2"/>
    <w:rsid w:val="00022AB5"/>
    <w:rsid w:val="00070038"/>
    <w:rsid w:val="00091205"/>
    <w:rsid w:val="000E71FC"/>
    <w:rsid w:val="00192753"/>
    <w:rsid w:val="001A38B2"/>
    <w:rsid w:val="001A4881"/>
    <w:rsid w:val="001D67DF"/>
    <w:rsid w:val="001E08AE"/>
    <w:rsid w:val="002257EF"/>
    <w:rsid w:val="00250983"/>
    <w:rsid w:val="00270E4A"/>
    <w:rsid w:val="002C5105"/>
    <w:rsid w:val="002C547D"/>
    <w:rsid w:val="0030683D"/>
    <w:rsid w:val="003157FC"/>
    <w:rsid w:val="00323397"/>
    <w:rsid w:val="003307BC"/>
    <w:rsid w:val="00332AF6"/>
    <w:rsid w:val="00374C14"/>
    <w:rsid w:val="0037632E"/>
    <w:rsid w:val="003A60AD"/>
    <w:rsid w:val="003E143F"/>
    <w:rsid w:val="003E47D4"/>
    <w:rsid w:val="003E7A37"/>
    <w:rsid w:val="0044398B"/>
    <w:rsid w:val="0047164A"/>
    <w:rsid w:val="004A1824"/>
    <w:rsid w:val="004D4F1C"/>
    <w:rsid w:val="004E1732"/>
    <w:rsid w:val="004E1A74"/>
    <w:rsid w:val="00507D82"/>
    <w:rsid w:val="00517988"/>
    <w:rsid w:val="00550A18"/>
    <w:rsid w:val="00563302"/>
    <w:rsid w:val="005A6A67"/>
    <w:rsid w:val="005D7E25"/>
    <w:rsid w:val="005E64DC"/>
    <w:rsid w:val="00607292"/>
    <w:rsid w:val="00622C22"/>
    <w:rsid w:val="00645950"/>
    <w:rsid w:val="006475C9"/>
    <w:rsid w:val="006D74D7"/>
    <w:rsid w:val="00725814"/>
    <w:rsid w:val="007317E0"/>
    <w:rsid w:val="00742C3C"/>
    <w:rsid w:val="00745A97"/>
    <w:rsid w:val="00766596"/>
    <w:rsid w:val="00773223"/>
    <w:rsid w:val="00797E86"/>
    <w:rsid w:val="007A6507"/>
    <w:rsid w:val="007B47E6"/>
    <w:rsid w:val="00836C53"/>
    <w:rsid w:val="00882712"/>
    <w:rsid w:val="008A743A"/>
    <w:rsid w:val="008E75DA"/>
    <w:rsid w:val="009015CD"/>
    <w:rsid w:val="009301BC"/>
    <w:rsid w:val="00945687"/>
    <w:rsid w:val="00977D1E"/>
    <w:rsid w:val="009D528C"/>
    <w:rsid w:val="009F09C1"/>
    <w:rsid w:val="009F5665"/>
    <w:rsid w:val="00A133DA"/>
    <w:rsid w:val="00A36241"/>
    <w:rsid w:val="00A47B17"/>
    <w:rsid w:val="00AC179B"/>
    <w:rsid w:val="00AE1E32"/>
    <w:rsid w:val="00AF53C2"/>
    <w:rsid w:val="00B14F78"/>
    <w:rsid w:val="00B16E24"/>
    <w:rsid w:val="00B2574C"/>
    <w:rsid w:val="00B85245"/>
    <w:rsid w:val="00B93A99"/>
    <w:rsid w:val="00BB44C3"/>
    <w:rsid w:val="00BC2322"/>
    <w:rsid w:val="00BD2C25"/>
    <w:rsid w:val="00C11C12"/>
    <w:rsid w:val="00C3106A"/>
    <w:rsid w:val="00C458D8"/>
    <w:rsid w:val="00C565B2"/>
    <w:rsid w:val="00C60D1F"/>
    <w:rsid w:val="00C637FE"/>
    <w:rsid w:val="00CE5FB3"/>
    <w:rsid w:val="00D037D5"/>
    <w:rsid w:val="00D400A8"/>
    <w:rsid w:val="00D448E2"/>
    <w:rsid w:val="00D53886"/>
    <w:rsid w:val="00DA74CB"/>
    <w:rsid w:val="00E00F58"/>
    <w:rsid w:val="00E60929"/>
    <w:rsid w:val="00E81BFA"/>
    <w:rsid w:val="00E95662"/>
    <w:rsid w:val="00EE3CD1"/>
    <w:rsid w:val="00F0094E"/>
    <w:rsid w:val="00F557C5"/>
    <w:rsid w:val="00F601EC"/>
    <w:rsid w:val="00F737DE"/>
    <w:rsid w:val="00F86032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880A"/>
  <w15:chartTrackingRefBased/>
  <w15:docId w15:val="{DAD68AA6-E554-45F1-896E-52C636E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rsid w:val="00645950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Virsraksts1">
    <w:name w:val="heading 1"/>
    <w:basedOn w:val="Parasts"/>
    <w:link w:val="Virsraksts1Rakstz"/>
    <w:uiPriority w:val="9"/>
    <w:qFormat/>
    <w:rsid w:val="00607292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45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5950"/>
    <w:rPr>
      <w:rFonts w:ascii="Segoe UI" w:eastAsia="SimSun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563302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63302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164A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0729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m.gov.lv/lv/valsts-parvaldes-pakalpojumu-sistemas-organizesana-institucij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oprade.lv/node/21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varam.gov.lv/lv/ceturksna-atskaite-par-projektu-publisko-pakalpojumu-parveides-metodologijas-izstrade-un-aprobacija-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/>
    <TaxKeywordTaxHTField xmlns="625d95d3-8e48-4580-80b6-232a158d6bc7">
      <Terms xmlns="http://schemas.microsoft.com/office/infopath/2007/PartnerControls"/>
    </TaxKeywordTaxHTField>
    <datums xmlns="8a33a714-59ff-4f42-bcf7-50dcdab445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CA723-8E56-4B75-8041-FD994D46E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2BFBB-1B26-40B2-A511-DDE582BF1636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3.xml><?xml version="1.0" encoding="utf-8"?>
<ds:datastoreItem xmlns:ds="http://schemas.openxmlformats.org/officeDocument/2006/customXml" ds:itemID="{574FEA33-EFF3-4970-BB83-018FFC952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Butkāne</dc:creator>
  <cp:keywords/>
  <dc:description/>
  <cp:lastModifiedBy>Lelde Krēsliņa</cp:lastModifiedBy>
  <cp:revision>2</cp:revision>
  <dcterms:created xsi:type="dcterms:W3CDTF">2020-12-23T09:54:00Z</dcterms:created>
  <dcterms:modified xsi:type="dcterms:W3CDTF">2020-12-23T09:54:00Z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/>
  </property>
</Properties>
</file>